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2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HCHPVER70-018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5286" w:x="850" w:y="1624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color w:val="000000"/>
          <w:spacing w:val="1"/>
          <w:sz w:val="32"/>
        </w:rPr>
        <w:t>27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SimHei" w:hAnsi="SimHei" w:cs="SimHei"/>
          <w:color w:val="000000"/>
          <w:spacing w:val="2"/>
          <w:sz w:val="32"/>
        </w:rPr>
        <w:t>溴化阻燃环氧乙烯基酯树脂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015" w:x="1286" w:y="223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27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是一种反应型阻燃环氧乙烯基酯树脂。适于手糊、喷射、缠绕、离心浇注、真空导入等成型工艺制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63" w:x="849" w:y="26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作各种阻燃玻璃钢制品。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31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NUAHH+Wingdings-Regular" w:hAnsi="HNUAHH+Wingdings-Regular" w:cs="HNUAHH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2" w:y="3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8" w:x="850" w:y="36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优异的阻燃效果，树脂浇铸体氧指数达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32</w:t>
      </w:r>
      <w:r>
        <w:rPr>
          <w:rFonts w:ascii="SimSun" w:hAnsi="SimSun" w:cs="SimSun"/>
          <w:color w:val="000000"/>
          <w:spacing w:val="0"/>
          <w:sz w:val="21"/>
        </w:rPr>
        <w:t>，加入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3%~5%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Sb</w:t>
      </w:r>
      <w:r>
        <w:rPr>
          <w:rFonts w:ascii="Times New Roman"/>
          <w:color w:val="000000"/>
          <w:spacing w:val="39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4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，其玻璃钢的氧指数达到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40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以上。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" w:x="6504" w:y="3743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2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280" w:x="6749" w:y="3743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5900" w:x="850" w:y="404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通过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SGS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的检测，达到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2"/>
          <w:sz w:val="21"/>
        </w:rPr>
        <w:t>UL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94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V-0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级别，</w:t>
      </w:r>
      <w:r>
        <w:rPr>
          <w:rFonts w:ascii="Times New Roman"/>
          <w:color w:val="000000"/>
          <w:spacing w:val="0"/>
          <w:sz w:val="21"/>
        </w:rPr>
        <w:t>ASTM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E84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级。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52" w:x="850" w:y="442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优良的耐化学性能和耐热性能，耐电弧性好、耐击穿电压高、介电常数小。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781" w:x="850" w:y="480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与玻纤的相容性好，力学性能优良。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53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NUAHH+Wingdings-Regular" w:hAnsi="HNUAHH+Wingdings-Regular" w:cs="HNUAHH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532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00" w:x="850" w:y="585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适合于制作具有阻燃、低烟要求的玻璃钢制品，如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FRP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烟囱、格栅、管道、电除雾器、烟道等；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80" w:x="850" w:y="62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还可应用于交通运输部件，如火车内饰板、轨道交通的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FRP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部件以及玻璃钢储罐、容器等。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67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NUAHH+Wingdings-Regular" w:hAnsi="HNUAHH+Wingdings-Regular" w:cs="HNUAHH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1332" w:y="67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729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729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729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729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29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76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6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淡黄色透明液体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677"/>
        <w:widowControl w:val="off"/>
        <w:autoSpaceDE w:val="off"/>
        <w:autoSpaceDN w:val="off"/>
        <w:spacing w:before="178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1.12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677"/>
        <w:widowControl w:val="off"/>
        <w:autoSpaceDE w:val="off"/>
        <w:autoSpaceDN w:val="off"/>
        <w:spacing w:before="162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677"/>
        <w:widowControl w:val="off"/>
        <w:autoSpaceDE w:val="off"/>
        <w:autoSpaceDN w:val="off"/>
        <w:spacing w:before="150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400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677"/>
        <w:widowControl w:val="off"/>
        <w:autoSpaceDE w:val="off"/>
        <w:autoSpaceDN w:val="off"/>
        <w:spacing w:before="150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12.0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677"/>
        <w:widowControl w:val="off"/>
        <w:autoSpaceDE w:val="off"/>
        <w:autoSpaceDN w:val="off"/>
        <w:spacing w:before="150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60.0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677"/>
        <w:widowControl w:val="off"/>
        <w:autoSpaceDE w:val="off"/>
        <w:autoSpaceDN w:val="off"/>
        <w:spacing w:before="150" w:after="0" w:line="234" w:lineRule="exact"/>
        <w:ind w:left="57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113" w:y="76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535" w:y="76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8" w:x="850" w:y="806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密度，</w:t>
      </w:r>
      <w:r>
        <w:rPr>
          <w:rFonts w:ascii="Times New Roman"/>
          <w:color w:val="000000"/>
          <w:spacing w:val="-1"/>
          <w:sz w:val="21"/>
        </w:rPr>
        <w:t>g/cm</w:t>
      </w:r>
      <w:r>
        <w:rPr>
          <w:rFonts w:ascii="Times New Roman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6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15223-2008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66"/>
        <w:widowControl w:val="off"/>
        <w:autoSpaceDE w:val="off"/>
        <w:autoSpaceDN w:val="off"/>
        <w:spacing w:before="162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66"/>
        <w:widowControl w:val="off"/>
        <w:autoSpaceDE w:val="off"/>
        <w:autoSpaceDN w:val="off"/>
        <w:spacing w:before="15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66"/>
        <w:widowControl w:val="off"/>
        <w:autoSpaceDE w:val="off"/>
        <w:autoSpaceDN w:val="off"/>
        <w:spacing w:before="15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66"/>
        <w:widowControl w:val="off"/>
        <w:autoSpaceDE w:val="off"/>
        <w:autoSpaceDN w:val="off"/>
        <w:spacing w:before="15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066"/>
        <w:widowControl w:val="off"/>
        <w:autoSpaceDE w:val="off"/>
        <w:autoSpaceDN w:val="off"/>
        <w:spacing w:before="15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846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84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IFSLEH+TimesNewRomanPSMT" w:hAnsi="IFSLEH+TimesNewRomanPSMT" w:cs="IFSLEH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846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IFSLEH+TimesNewRomanPSMT" w:hAnsi="IFSLEH+TimesNewRomanPSMT" w:cs="IFSLEH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846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999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IFSLEH+TimesNewRomanPSMT" w:hAnsi="IFSLEH+TimesNewRomanPSMT" w:cs="IFSLEH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0" w:y="104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IFSLEH+TimesNewRomanPSMT" w:hAnsi="IFSLEH+TimesNewRomanPSMT" w:cs="IFSLEH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1.5%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1.0%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08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NUAHH+Wingdings-Regular" w:hAnsi="HNUAHH+Wingdings-Regular" w:cs="HNUAHH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0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14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14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114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114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44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2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22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22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22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822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822"/>
        <w:widowControl w:val="off"/>
        <w:autoSpaceDE w:val="off"/>
        <w:autoSpaceDN w:val="off"/>
        <w:spacing w:before="0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75~85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822"/>
        <w:widowControl w:val="off"/>
        <w:autoSpaceDE w:val="off"/>
        <w:autoSpaceDN w:val="off"/>
        <w:spacing w:before="150" w:after="0" w:line="234" w:lineRule="exact"/>
        <w:ind w:left="2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3300-3600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822"/>
        <w:widowControl w:val="off"/>
        <w:autoSpaceDE w:val="off"/>
        <w:autoSpaceDN w:val="off"/>
        <w:spacing w:before="150" w:after="0" w:line="234" w:lineRule="exact"/>
        <w:ind w:left="15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3.5~5.5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822"/>
        <w:widowControl w:val="off"/>
        <w:autoSpaceDE w:val="off"/>
        <w:autoSpaceDN w:val="off"/>
        <w:spacing w:before="15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120~140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822"/>
        <w:widowControl w:val="off"/>
        <w:autoSpaceDE w:val="off"/>
        <w:autoSpaceDN w:val="off"/>
        <w:spacing w:before="15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3400~3700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822"/>
        <w:widowControl w:val="off"/>
        <w:autoSpaceDE w:val="off"/>
        <w:autoSpaceDN w:val="off"/>
        <w:spacing w:before="165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108~115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822"/>
        <w:widowControl w:val="off"/>
        <w:autoSpaceDE w:val="off"/>
        <w:autoSpaceDN w:val="off"/>
        <w:spacing w:before="162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38~42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22"/>
        <w:widowControl w:val="off"/>
        <w:autoSpaceDE w:val="off"/>
        <w:autoSpaceDN w:val="off"/>
        <w:spacing w:before="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22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22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22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22"/>
        <w:widowControl w:val="off"/>
        <w:autoSpaceDE w:val="off"/>
        <w:autoSpaceDN w:val="off"/>
        <w:spacing w:before="15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822"/>
        <w:widowControl w:val="off"/>
        <w:autoSpaceDE w:val="off"/>
        <w:autoSpaceDN w:val="off"/>
        <w:spacing w:before="13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375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IFSLEH+TimesNewRomanPSMT" w:hAnsi="IFSLEH+TimesNewRomanPSMT" w:cs="IFSLEH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3757"/>
        <w:widowControl w:val="off"/>
        <w:autoSpaceDE w:val="off"/>
        <w:autoSpaceDN w:val="off"/>
        <w:spacing w:before="169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78" w:x="8659" w:y="14153"/>
        <w:widowControl w:val="off"/>
        <w:autoSpaceDE w:val="off"/>
        <w:autoSpaceDN w:val="off"/>
        <w:spacing w:before="0" w:after="0" w:line="234" w:lineRule="exact"/>
        <w:ind w:left="4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78" w:x="8659" w:y="14153"/>
        <w:widowControl w:val="off"/>
        <w:autoSpaceDE w:val="off"/>
        <w:autoSpaceDN w:val="off"/>
        <w:spacing w:before="12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GBT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2406.2-2009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4" w:x="850" w:y="1454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氧指数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67" w:x="5791" w:y="1453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0"/>
          <w:sz w:val="21"/>
        </w:rPr>
        <w:t>≥32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494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82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59.049987792969pt;z-index:-11;width:523.650024414063pt;height:15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66.650024414063pt;z-index:-15;width:523.650024414063pt;height:176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4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NUAHH+Wingdings-Regular" w:hAnsi="HNUAHH+Wingdings-Regular" w:cs="HNUAHH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32" w:y="149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推荐使用配方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27" w:x="3910" w:y="18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不同温度下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MFE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27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树脂典型凝胶性能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47" w:x="4925" w:y="2249"/>
        <w:widowControl w:val="off"/>
        <w:autoSpaceDE w:val="off"/>
        <w:autoSpaceDN w:val="off"/>
        <w:spacing w:before="0" w:after="0" w:line="234" w:lineRule="exact"/>
        <w:ind w:left="22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推荐配比（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47" w:x="4925" w:y="2249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10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20min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20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40min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60min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1548" w:y="24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温度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3374" w:y="24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固化体系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2933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I071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2933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9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2933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29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2933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2933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327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1"/>
          <w:sz w:val="21"/>
        </w:rPr>
        <w:t>10℃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9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960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960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9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960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960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3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1"/>
          <w:sz w:val="21"/>
        </w:rPr>
        <w:t>15℃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301"/>
        <w:widowControl w:val="off"/>
        <w:autoSpaceDE w:val="off"/>
        <w:autoSpaceDN w:val="off"/>
        <w:spacing w:before="62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1"/>
          <w:sz w:val="21"/>
        </w:rPr>
        <w:t>20℃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4301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1"/>
          <w:sz w:val="21"/>
        </w:rPr>
        <w:t>25℃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8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85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985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0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7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9" w:after="0" w:line="234" w:lineRule="exact"/>
        <w:ind w:left="105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5" w:x="9679" w:y="4985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69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696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696"/>
        <w:widowControl w:val="off"/>
        <w:autoSpaceDE w:val="off"/>
        <w:autoSpaceDN w:val="off"/>
        <w:spacing w:before="109" w:after="0" w:line="234" w:lineRule="exact"/>
        <w:ind w:left="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I071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69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696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696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96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96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96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96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96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6696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703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1"/>
          <w:sz w:val="21"/>
        </w:rPr>
        <w:t>30℃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7037"/>
        <w:widowControl w:val="off"/>
        <w:autoSpaceDE w:val="off"/>
        <w:autoSpaceDN w:val="off"/>
        <w:spacing w:before="79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FSLEH+TimesNewRomanPSMT" w:hAnsi="IFSLEH+TimesNewRomanPSMT" w:cs="IFSLEH+TimesNewRomanPSMT"/>
          <w:color w:val="000000"/>
          <w:spacing w:val="1"/>
          <w:sz w:val="21"/>
        </w:rPr>
        <w:t>35℃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7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72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721"/>
        <w:widowControl w:val="off"/>
        <w:autoSpaceDE w:val="off"/>
        <w:autoSpaceDN w:val="off"/>
        <w:spacing w:before="107" w:after="0" w:line="234" w:lineRule="exact"/>
        <w:ind w:left="4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I071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7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72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721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250" w:x="850" w:y="87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为配套促进剂；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I071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为配套阻聚剂，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为引发剂，</w:t>
      </w:r>
      <w:r>
        <w:rPr>
          <w:rFonts w:ascii="Times New Roman"/>
          <w:color w:val="000000"/>
          <w:spacing w:val="0"/>
          <w:sz w:val="18"/>
        </w:rPr>
        <w:t>DMA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为二甲基苯胺液。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9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NUAHH+Wingdings-Regular" w:hAnsi="HNUAHH+Wingdings-Regular" w:cs="HNUAHH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91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87" w:x="850" w:y="953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1000Kg/</w:t>
      </w:r>
      <w:r>
        <w:rPr>
          <w:rFonts w:ascii="SimSun" w:hAnsi="SimSun" w:cs="SimSun"/>
          <w:color w:val="000000"/>
          <w:spacing w:val="0"/>
          <w:sz w:val="21"/>
        </w:rPr>
        <w:t>吨包装。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9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IFSLEH+TimesNewRomanPSMT" w:hAnsi="IFSLEH+TimesNewRomanPSMT" w:cs="IFSLEH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以下贮存期为六个月，不适当的贮存或运输条件会引起树脂贮存期的缩短。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917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917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917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49" w:y="9917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118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HNUAHH+Wingdings-Regular" w:hAnsi="HNUAHH+Wingdings-Regular" w:cs="HNUAHH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1181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122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209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209"/>
        <w:widowControl w:val="off"/>
        <w:autoSpaceDE w:val="off"/>
        <w:autoSpaceDN w:val="off"/>
        <w:spacing w:before="16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209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73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2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27P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-4"/>
          <w:sz w:val="21"/>
        </w:rPr>
        <w:t>预促进型树脂，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27T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-3"/>
          <w:sz w:val="21"/>
        </w:rPr>
        <w:t>触变型（防流挂）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735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8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27V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27TP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预促进触变型树脂，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27VP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38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27LSE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735"/>
        <w:widowControl w:val="off"/>
        <w:autoSpaceDE w:val="off"/>
        <w:autoSpaceDN w:val="off"/>
        <w:spacing w:before="15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低苯乙烯挥发型树脂等。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50" w:y="1488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以上所有数据信息是在可控环境下，对产品进行合理工艺处理测试所得。鉴于实际操作工艺等其它因素的影响，这些数据并不能代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41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替使用者本身的调查和测试；本说明书会随技术的发展有所调整，本公司保留对某些技术数据的修改权。在使用本公司产品前，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500" w:x="850" w:y="15641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63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5.8499984741211pt;margin-top:108.25pt;z-index:-27;width:512.25pt;height:32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40" w:x="850" w:y="15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以上所有数据信息是在可控环境下，对产品进行合理工艺处理测试所得。鉴于实际操作工艺等其它因素的影响，这些数据并不能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41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41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75pt;margin-top:41.2999992370605pt;z-index:-31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4.2000007629395pt;margin-top:763.400024414063pt;z-index:-35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HNUAHH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2CC24A7-0000-0000-0000-000000000000}"/>
  </w:font>
  <w:font w:name="IFSLEH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C9F9AB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349</Words>
  <Characters>2087</Characters>
  <Application>Aspose</Application>
  <DocSecurity>0</DocSecurity>
  <Lines>188</Lines>
  <Paragraphs>188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2026-04-20T15:23:53+08:00</dcterms:created>
  <dcterms:modified xmlns:xsi="http://www.w3.org/2001/XMLSchema-instance" xmlns:dcterms="http://purl.org/dc/terms/" xsi:type="dcterms:W3CDTF">2026-04-20T15:23:53+08:00</dcterms:modified>
</coreProperties>
</file>