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5" w:x="851" w:y="1693"/>
        <w:widowControl w:val="off"/>
        <w:autoSpaceDE w:val="off"/>
        <w:autoSpaceDN w:val="off"/>
        <w:spacing w:before="0" w:after="0" w:line="429" w:lineRule="exact"/>
        <w:ind w:left="0" w:right="0" w:firstLine="0"/>
        <w:jc w:val="left"/>
        <w:rPr>
          <w:rFonts w:ascii="HGHGRB+ArialUnicodeMS"/>
          <w:color w:val="000000"/>
          <w:spacing w:val="0"/>
          <w:sz w:val="32"/>
        </w:rPr>
      </w:pPr>
      <w:r>
        <w:rPr>
          <w:rFonts w:ascii="HGHGRB+ArialUnicodeMS"/>
          <w:color w:val="000000"/>
          <w:spacing w:val="0"/>
          <w:sz w:val="32"/>
        </w:rPr>
        <w:t>HCM-2</w:t>
      </w:r>
      <w:r>
        <w:rPr>
          <w:rFonts w:ascii="HGHGRB+ArialUnicodeMS"/>
          <w:color w:val="000000"/>
          <w:spacing w:val="-9"/>
          <w:sz w:val="32"/>
        </w:rPr>
        <w:t xml:space="preserve"> </w:t>
      </w:r>
      <w:r>
        <w:rPr>
          <w:rFonts w:ascii="HGHGRB+ArialUnicodeMS" w:hAnsi="HGHGRB+ArialUnicodeMS" w:cs="HGHGRB+ArialUnicodeMS"/>
          <w:color w:val="000000"/>
          <w:spacing w:val="0"/>
          <w:sz w:val="32"/>
        </w:rPr>
        <w:t>乙烯基酯鳞片胶泥</w:t>
      </w:r>
      <w:r>
        <w:rPr>
          <w:rFonts w:ascii="HGHGRB+ArialUnicodeMS"/>
          <w:color w:val="000000"/>
          <w:spacing w:val="0"/>
          <w:sz w:val="32"/>
        </w:rPr>
      </w:r>
    </w:p>
    <w:p>
      <w:pPr>
        <w:pStyle w:val="Normal"/>
        <w:framePr w:w="10435" w:x="851" w:y="2406"/>
        <w:widowControl w:val="off"/>
        <w:autoSpaceDE w:val="off"/>
        <w:autoSpaceDN w:val="off"/>
        <w:spacing w:before="0" w:after="0" w:line="256" w:lineRule="exact"/>
        <w:ind w:left="43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是乙烯基酯鳞片胶泥，是针对烟气脱硫（</w:t>
      </w:r>
      <w:r>
        <w:rPr>
          <w:rFonts w:ascii="Calibri"/>
          <w:color w:val="000000"/>
          <w:spacing w:val="-1"/>
          <w:sz w:val="21"/>
        </w:rPr>
        <w:t>FGD</w:t>
      </w:r>
      <w:r>
        <w:rPr>
          <w:rFonts w:ascii="SimSun" w:hAnsi="SimSun" w:cs="SimSun"/>
          <w:color w:val="000000"/>
          <w:spacing w:val="-1"/>
          <w:sz w:val="21"/>
        </w:rPr>
        <w:t>）装置而研发的系列专用鳞片类耐蚀材料。它是由高度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35" w:x="851" w:y="2406"/>
        <w:widowControl w:val="off"/>
        <w:autoSpaceDE w:val="off"/>
        <w:autoSpaceDN w:val="off"/>
        <w:spacing w:before="7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耐蚀、耐高温、高韧性的乙烯基酯树脂为成膜物，配以特殊表面处理的鳞片材料、相关助剂，与其他耐腐蚀颜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35" w:x="851" w:y="240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料加工而成，物料呈糊状。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33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KTHRL+Wingdings-Regular" w:hAnsi="AKTHRL+Wingdings-Regular" w:cs="AKTHRL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1" w:x="1333" w:y="33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30" w:x="851" w:y="381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具有独特的抗渗透屏障，腐蚀性气体渗透率低。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3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良好的耐水、酸、碱、部分溶剂及其他一些特殊化学介质性能。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3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硬化收缩小，与多种基材粘结性强，易局部修补。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3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高韧性，良好的力学性能，适应温度骤变。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2" w:x="851" w:y="505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100%</w:t>
      </w:r>
      <w:r>
        <w:rPr>
          <w:rFonts w:ascii="SimSun" w:hAnsi="SimSun" w:cs="SimSun"/>
          <w:color w:val="000000"/>
          <w:spacing w:val="0"/>
          <w:sz w:val="21"/>
        </w:rPr>
        <w:t>交联固化，表面硬度高，有良好的耐腐蚀性。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2" w:x="851" w:y="5058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建议最高使用温度：湿态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0"/>
          <w:sz w:val="21"/>
        </w:rPr>
        <w:t>℃，干态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130</w:t>
      </w:r>
      <w:r>
        <w:rPr>
          <w:rFonts w:ascii="SimSun" w:hAnsi="SimSun" w:cs="SimSun"/>
          <w:color w:val="000000"/>
          <w:spacing w:val="0"/>
          <w:sz w:val="21"/>
        </w:rPr>
        <w:t>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56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KTHRL+Wingdings-Regular" w:hAnsi="AKTHRL+Wingdings-Regular" w:cs="AKTHRL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56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发电厂、冶炼厂、化肥厂等烟道气较苛刻环境条件下钢结构、混凝土建（构）筑物的衬里。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中等腐蚀强度以下的液相介质设备、管道、储罐的内外表面防护。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与玻璃钢（</w:t>
      </w:r>
      <w:r>
        <w:rPr>
          <w:rFonts w:ascii="Calibri"/>
          <w:color w:val="000000"/>
          <w:spacing w:val="0"/>
          <w:sz w:val="21"/>
        </w:rPr>
        <w:t>FRP</w:t>
      </w:r>
      <w:r>
        <w:rPr>
          <w:rFonts w:ascii="SimSun" w:hAnsi="SimSun" w:cs="SimSun"/>
          <w:color w:val="000000"/>
          <w:spacing w:val="0"/>
          <w:sz w:val="21"/>
        </w:rPr>
        <w:t>）复合使用效果更佳，如用于高速金属叶轮。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发电厂、冶炼厂、化肥厂等制酸、脱硫环境与设备。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700" w:x="851" w:y="73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海洋设备浪溅区，气、液、固三相交替腐蚀的苛刻环境。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78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KTHRL+Wingdings-Regular" w:hAnsi="AKTHRL+Wingdings-Regular" w:cs="AKTHRL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7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质量指标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4" w:x="3458" w:y="8342"/>
        <w:widowControl w:val="off"/>
        <w:autoSpaceDE w:val="off"/>
        <w:autoSpaceDN w:val="off"/>
        <w:spacing w:before="0" w:after="0" w:line="256" w:lineRule="exact"/>
        <w:ind w:left="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2D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58" w:y="8342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0" w:after="0" w:line="256" w:lineRule="exact"/>
        <w:ind w:left="22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78" w:after="0" w:line="210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11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本色或灰色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102" w:after="0" w:line="210" w:lineRule="exact"/>
        <w:ind w:left="31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糊状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0" w:after="0" w:line="256" w:lineRule="exact"/>
        <w:ind w:left="1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2M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78" w:after="0" w:line="210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1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灰色或绿色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02" w:after="0" w:line="210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04" w:after="0" w:line="256" w:lineRule="exact"/>
        <w:ind w:left="2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1.2~1.3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0" w:after="0" w:line="256" w:lineRule="exact"/>
        <w:ind w:left="17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2NM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113" w:after="0" w:line="210" w:lineRule="exact"/>
        <w:ind w:left="10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灰色或绿色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102" w:after="0" w:line="210" w:lineRule="exact"/>
        <w:ind w:left="2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475" w:y="85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897" w:y="85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0" w:x="3251" w:y="89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紫色或铁红色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0" w:x="3251" w:y="8998"/>
        <w:widowControl w:val="off"/>
        <w:autoSpaceDE w:val="off"/>
        <w:autoSpaceDN w:val="off"/>
        <w:spacing w:before="102" w:after="0" w:line="210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0" w:x="851" w:y="91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82" w:x="851" w:y="95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比重，</w:t>
      </w:r>
      <w:r>
        <w:rPr>
          <w:rFonts w:ascii="Calibri"/>
          <w:color w:val="000000"/>
          <w:spacing w:val="1"/>
          <w:sz w:val="21"/>
        </w:rPr>
        <w:t>g/cm</w:t>
      </w:r>
      <w:r>
        <w:rPr>
          <w:rFonts w:ascii="Calibri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1" w:x="3456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1.05~1.15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7" w:x="5645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1.3~1.4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7" w:x="9806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1.2~1.3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0" w:x="1951" w:y="997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32"/>
          <w:vertAlign w:val="subscript"/>
        </w:rPr>
        <w:t>表干，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92" w:after="0" w:line="256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0" w:x="852" w:y="100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81" w:x="851" w:y="1030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0"/>
          <w:sz w:val="21"/>
        </w:rPr>
        <w:t>℃）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实干，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20" w:x="851" w:y="1067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涂装间隔时间，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243" w:x="851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热稳定性，</w:t>
      </w:r>
      <w:r>
        <w:rPr>
          <w:rFonts w:ascii="Calibri"/>
          <w:color w:val="000000"/>
          <w:spacing w:val="-8"/>
          <w:sz w:val="21"/>
        </w:rPr>
        <w:t>h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80</w:t>
      </w:r>
      <w:r>
        <w:rPr>
          <w:rFonts w:ascii="SimSun" w:hAnsi="SimSun" w:cs="SimSun"/>
          <w:color w:val="000000"/>
          <w:spacing w:val="0"/>
          <w:sz w:val="21"/>
        </w:rPr>
        <w:t>℃）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07" w:x="851" w:y="11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Calibri"/>
          <w:color w:val="000000"/>
          <w:spacing w:val="0"/>
          <w:sz w:val="18"/>
        </w:rPr>
        <w:t>HCM</w:t>
      </w:r>
      <w:r>
        <w:rPr>
          <w:rFonts w:ascii="Calibri" w:hAnsi="Calibri" w:cs="Calibri"/>
          <w:color w:val="000000"/>
          <w:spacing w:val="0"/>
          <w:sz w:val="18"/>
        </w:rPr>
        <w:t>‐</w:t>
      </w:r>
      <w:r>
        <w:rPr>
          <w:rFonts w:ascii="Calibri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乙烯基酯鳞片胶泥符合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HG/T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3797</w:t>
      </w:r>
      <w:r>
        <w:rPr>
          <w:rFonts w:ascii="Calibri" w:hAnsi="Calibri" w:cs="Calibri"/>
          <w:color w:val="000000"/>
          <w:spacing w:val="0"/>
          <w:sz w:val="18"/>
        </w:rPr>
        <w:t>‐</w:t>
      </w:r>
      <w:r>
        <w:rPr>
          <w:rFonts w:ascii="Calibri"/>
          <w:color w:val="000000"/>
          <w:spacing w:val="0"/>
          <w:sz w:val="18"/>
        </w:rPr>
        <w:t>2005</w:t>
      </w:r>
      <w:r>
        <w:rPr>
          <w:rFonts w:ascii="SimSun" w:hAnsi="SimSun" w:cs="SimSun"/>
          <w:color w:val="000000"/>
          <w:spacing w:val="0"/>
          <w:sz w:val="18"/>
        </w:rPr>
        <w:t>《玻璃鳞片衬里胶泥》标准要求。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1" w:y="118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KTHRL+Wingdings-Regular" w:hAnsi="AKTHRL+Wingdings-Regular" w:cs="AKTHRL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118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力学性能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0" w:after="0" w:line="256" w:lineRule="exact"/>
        <w:ind w:left="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2D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60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0" w:after="0" w:line="256" w:lineRule="exact"/>
        <w:ind w:left="1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35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0" w:after="0" w:line="256" w:lineRule="exact"/>
        <w:ind w:left="3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2M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0" w:after="0" w:line="256" w:lineRule="exact"/>
        <w:ind w:left="17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2NM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107" w:after="0" w:line="256" w:lineRule="exact"/>
        <w:ind w:left="42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469" w:y="12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891" w:y="12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79" w:x="1068" w:y="1295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79" w:x="1068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70" w:x="3605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41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25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0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30" w:x="893" w:y="136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2"/>
          <w:sz w:val="21"/>
        </w:rPr>
        <w:t>附着力（拉开法），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30" w:x="893" w:y="13662"/>
        <w:widowControl w:val="off"/>
        <w:autoSpaceDE w:val="off"/>
        <w:autoSpaceDN w:val="off"/>
        <w:spacing w:before="80" w:after="0" w:line="256" w:lineRule="exact"/>
        <w:ind w:left="7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68" w:x="5681" w:y="137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（钢板）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（混凝土）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47" w:x="1231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耐磨性，</w:t>
      </w:r>
      <w:r>
        <w:rPr>
          <w:rFonts w:ascii="Calibri"/>
          <w:color w:val="000000"/>
          <w:spacing w:val="0"/>
          <w:sz w:val="21"/>
        </w:rPr>
        <w:t>mg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70" w:x="5688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0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30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0" w:x="1470" w:y="146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耐热性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36" w:x="6547" w:y="1464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40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次循环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460" w:x="851" w:y="150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1.8999996185303pt;margin-top:21.5pt;z-index:-3;width:551pt;height:31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.9000015258789pt;margin-top:414.200012207031pt;z-index:-7;width:523.450012207031pt;height:153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9000015258789pt;margin-top:612.400024414063pt;z-index:-11;width:523.450012207031pt;height:135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1" w:y="1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KTHRL+Wingdings-Regular" w:hAnsi="AKTHRL+Wingdings-Regular" w:cs="AKTHRL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1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工艺参数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4" w:x="2183" w:y="212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7" w:x="5660" w:y="212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0" w:x="9216" w:y="2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配比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03" w:x="1698" w:y="253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2D</w:t>
      </w:r>
      <w:r>
        <w:rPr>
          <w:rFonts w:ascii="SimSun" w:hAnsi="SimSun" w:cs="SimSun"/>
          <w:color w:val="000000"/>
          <w:spacing w:val="0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03" w:x="1698" w:y="2536"/>
        <w:widowControl w:val="off"/>
        <w:autoSpaceDE w:val="off"/>
        <w:autoSpaceDN w:val="off"/>
        <w:spacing w:before="154" w:after="0" w:line="256" w:lineRule="exact"/>
        <w:ind w:left="6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29" w:y="31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配套固化剂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409" w:x="1396" w:y="3357"/>
        <w:widowControl w:val="off"/>
        <w:autoSpaceDE w:val="off"/>
        <w:autoSpaceDN w:val="off"/>
        <w:spacing w:before="0" w:after="0" w:line="256" w:lineRule="exact"/>
        <w:ind w:left="2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2M</w:t>
      </w:r>
      <w:r>
        <w:rPr>
          <w:rFonts w:ascii="SimSun" w:hAnsi="SimSun" w:cs="SimSun"/>
          <w:color w:val="000000"/>
          <w:spacing w:val="0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409" w:x="1396" w:y="3357"/>
        <w:widowControl w:val="off"/>
        <w:autoSpaceDE w:val="off"/>
        <w:autoSpaceDN w:val="off"/>
        <w:spacing w:before="15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2NM</w:t>
      </w:r>
      <w:r>
        <w:rPr>
          <w:rFonts w:ascii="SimSun" w:hAnsi="SimSun" w:cs="SimSun"/>
          <w:color w:val="000000"/>
          <w:spacing w:val="0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3" w:x="851" w:y="42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Calibri"/>
          <w:color w:val="000000"/>
          <w:spacing w:val="0"/>
          <w:sz w:val="18"/>
        </w:rPr>
        <w:t>B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组分用量可根据施工期间环境条件在上述配比内调整。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1" w:y="4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KTHRL+Wingdings-Regular" w:hAnsi="AKTHRL+Wingdings-Regular" w:cs="AKTHRL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3" w:y="47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1" w:y="528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本产品包装在清洁、干燥的容器内，净重：</w:t>
      </w:r>
      <w:r>
        <w:rPr>
          <w:rFonts w:ascii="Calibri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2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桶、</w:t>
      </w:r>
      <w:r>
        <w:rPr>
          <w:rFonts w:ascii="Calibri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2"/>
          <w:sz w:val="21"/>
        </w:rPr>
        <w:t>25Kg/</w:t>
      </w:r>
      <w:r>
        <w:rPr>
          <w:rFonts w:ascii="SimSun" w:hAnsi="SimSun" w:cs="SimSun"/>
          <w:color w:val="000000"/>
          <w:spacing w:val="0"/>
          <w:sz w:val="21"/>
        </w:rPr>
        <w:t>桶（实际施工按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1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Calibri"/>
          <w:color w:val="000000"/>
          <w:spacing w:val="0"/>
          <w:sz w:val="21"/>
        </w:rPr>
        <w:t>B=100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5" w:x="851" w:y="5289"/>
        <w:widowControl w:val="off"/>
        <w:autoSpaceDE w:val="off"/>
        <w:autoSpaceDN w:val="off"/>
        <w:spacing w:before="16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4"/>
          <w:sz w:val="21"/>
        </w:rPr>
        <w:t>比例配制施工料，并可以根据施工环境条件适当调整）。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4" w:x="851" w:y="608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贮存环境应阴凉、干燥、通风，要防止日光直射并隔绝火源，</w:t>
      </w: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-1"/>
          <w:sz w:val="21"/>
        </w:rPr>
        <w:t>℃以下贮存期为三个月，不适当的贮存或运输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4" w:x="851" w:y="6088"/>
        <w:widowControl w:val="off"/>
        <w:autoSpaceDE w:val="off"/>
        <w:autoSpaceDN w:val="off"/>
        <w:spacing w:before="164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条件会引起贮存期的缩短。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906" w:x="851" w:y="688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运输要求：</w:t>
      </w:r>
      <w:r>
        <w:rPr>
          <w:rFonts w:ascii="Calibri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-1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74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KTHRL+Wingdings-Regular" w:hAnsi="AKTHRL+Wingdings-Regular" w:cs="AKTHRL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7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0" w:x="851" w:y="80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施工方法及工艺可向本公司咨询。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20" w:x="851" w:y="840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施工环境应保持空气与外界流通，在空气不流通的场所施工时请采取强制通风措施。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20" w:x="851" w:y="8400"/>
        <w:widowControl w:val="off"/>
        <w:autoSpaceDE w:val="off"/>
        <w:autoSpaceDN w:val="off"/>
        <w:spacing w:before="14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涂膜未干透前，应避免摩擦、撞击及雨水或其它液体的沾染。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本产品出厂前已调到适当粘度，不得任意添加稀释剂。如有需要请咨询本公司。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4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由于涂装施工、应用环境和涂层设计因素等变化很大，并且我们无法了解和控制使用者的施工行为，所以我公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6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司应承担的责任仅限于涂料产品质量本身。除非得到我公司授权代表的书面认可，用户应对产品在具体使用环境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9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中的适用性负责。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71" w:x="851" w:y="108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2017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6" w:x="10223" w:y="16368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SimSun" w:hAnsi="SimSun" w:cs="SimSun"/>
          <w:color w:val="000000"/>
          <w:spacing w:val="0"/>
          <w:sz w:val="15"/>
        </w:rPr>
        <w:t>版号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0"/>
          <w:sz w:val="15"/>
        </w:rPr>
        <w:t>2017.08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1.8999996185303pt;margin-top:19.75pt;z-index:-15;width:551pt;height:31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7.25pt;margin-top:749.900024414063pt;z-index:-19;width:560.799987792969pt;height:2.0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5.9000015258789pt;margin-top:98.8000030517578pt;z-index:-23;width:523.450012207031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GHGRB+ArialUnicodeMS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C879B37-0000-0000-0000-000000000000}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KTHRL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78BE5E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284</Words>
  <Characters>1435</Characters>
  <Application>Aspose</Application>
  <DocSecurity>0</DocSecurity>
  <Lines>131</Lines>
  <Paragraphs>131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2026-04-20T15:23:53+08:00</dcterms:created>
  <dcterms:modified xmlns:xsi="http://www.w3.org/2001/XMLSchema-instance" xmlns:dcterms="http://purl.org/dc/terms/" xsi:type="dcterms:W3CDTF">2026-04-20T15:23:53+08:00</dcterms:modified>
</coreProperties>
</file>